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400" w:after="120" w:line="400" w:lineRule="exact"/>
        <w:jc w:val="center"/>
      </w:pPr>
      <w:r>
        <w:rPr>
          <w:rFonts w:ascii="微软雅黑" w:hAnsi="微软雅黑" w:eastAsia="微软雅黑"/>
          <w:b/>
          <w:sz w:val="21"/>
        </w:rPr>
        <w:t>阜康 S/4HANA 1709 → 2025 升级项目</w:t>
      </w:r>
    </w:p>
    <w:p>
      <w:pPr>
        <w:spacing w:before="0" w:after="120" w:line="280" w:lineRule="exact"/>
        <w:jc w:val="center"/>
      </w:pPr>
      <w:r>
        <w:rPr>
          <w:rFonts w:ascii="微软雅黑" w:hAnsi="微软雅黑" w:eastAsia="微软雅黑"/>
          <w:b/>
          <w:sz w:val="21"/>
        </w:rPr>
        <w:t>上线切换方案</w:t>
      </w:r>
    </w:p>
    <w:p>
      <w:r>
        <w:br w:type="page"/>
      </w:r>
    </w:p>
    <w:p>
      <w:pPr>
        <w:spacing w:before="120" w:after="80" w:line="320" w:lineRule="exact"/>
      </w:pPr>
      <w:r>
        <w:rPr>
          <w:rFonts w:ascii="微软雅黑" w:hAnsi="微软雅黑" w:eastAsia="微软雅黑"/>
          <w:b/>
          <w:sz w:val="21"/>
        </w:rPr>
        <w:t>目  录</w:t>
      </w:r>
    </w:p>
    <w:p>
      <w:pPr>
        <w:spacing w:before="0" w:after="40" w:line="280" w:lineRule="exact"/>
      </w:pPr>
      <w:r>
        <w:fldChar w:fldCharType="begin"/>
      </w:r>
      <w:r>
        <w:instrText xml:space="preserve"> TOC \o "1-3" \h \z \u </w:instrText>
      </w:r>
      <w:r>
        <w:fldChar w:fldCharType="separate"/>
      </w:r>
      <w:r>
        <w:rPr>
          <w:rFonts w:ascii="微软雅黑" w:hAnsi="微软雅黑" w:eastAsia="微软雅黑"/>
          <w:b w:val="0"/>
          <w:sz w:val="18"/>
        </w:rPr>
        <w:t>【请右键此处 → 更新域 → 更新整个目录】</w:t>
      </w:r>
      <w:r>
        <w:fldChar w:fldCharType="end"/>
      </w:r>
    </w:p>
    <w:p>
      <w:r>
        <w:br w:type="page"/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项目</w:t>
            </w:r>
          </w:p>
        </w:tc>
        <w:tc>
          <w:tcPr>
            <w:tcW w:type="dxa" w:w="432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内容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计划切换日期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（填写）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切换窗口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8-12小时（计划）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切换方式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DMO with System Move</w:t>
            </w:r>
          </w:p>
        </w:tc>
      </w:tr>
    </w:tbl>
    <w:p>
      <w:pPr>
        <w:pStyle w:val="Heading2"/>
        <w:spacing w:before="120" w:after="60" w:line="320" w:lineRule="exact"/>
      </w:pPr>
      <w:r>
        <w:rPr>
          <w:rFonts w:ascii="微软雅黑" w:hAnsi="微软雅黑" w:eastAsia="微软雅黑"/>
          <w:b/>
          <w:sz w:val="21"/>
        </w:rPr>
        <w:t>1. 切换前条件检查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检查项</w:t>
            </w:r>
          </w:p>
        </w:tc>
        <w:tc>
          <w:tcPr>
            <w:tcW w:type="dxa" w:w="216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负责人</w:t>
            </w:r>
          </w:p>
        </w:tc>
        <w:tc>
          <w:tcPr>
            <w:tcW w:type="dxa" w:w="216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状态</w:t>
            </w:r>
          </w:p>
        </w:tc>
        <w:tc>
          <w:tcPr>
            <w:tcW w:type="dxa" w:w="216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备注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PROD新服务器已就绪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客户IT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□完成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HANA SR配置完成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客户IT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□完成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SUSE HA配置完成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客户IT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□完成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网络配置完成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客户IT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□完成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SUM 2.0已安装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BASIS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□完成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升级包已下载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BASIS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□完成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DEV/QA升级验证通过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顾问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□完成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SANDBOX演练完成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BASIS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□完成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代码修复完成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ABAP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□完成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接口测试通过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功能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□完成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UAT测试通过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关键用户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□完成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PROD完整备份完成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BASIS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□完成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回退方案已确认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BASIS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□完成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用户通知已发送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PM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□完成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</w:tbl>
    <w:p>
      <w:pPr>
        <w:pStyle w:val="Heading2"/>
        <w:spacing w:before="120" w:after="60" w:line="320" w:lineRule="exact"/>
      </w:pPr>
      <w:r>
        <w:rPr>
          <w:rFonts w:ascii="微软雅黑" w:hAnsi="微软雅黑" w:eastAsia="微软雅黑"/>
          <w:b/>
          <w:sz w:val="21"/>
        </w:rPr>
        <w:t>2. 切换时间线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时间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步骤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操作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负责人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预计耗时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实际耗时</w:t>
            </w:r>
          </w:p>
        </w:tc>
        <w:tc>
          <w:tcPr>
            <w:tcW w:type="dxa" w:w="1234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状态</w:t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T+0h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通知用户退出SAP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PM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15min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□完成</w:t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T+0.25h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2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停止PROD SAP应用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BASIS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10min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□完成</w:t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T+0.5h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3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执行HANA完整备份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BASIS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1-2h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□完成</w:t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T+2.5h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4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拷贝备份至新服务器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BASIS/IT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1-2h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□完成</w:t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T+4.5h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5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验证备份完整性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BASIS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30min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□完成</w:t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T+5h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6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启动SUM DMO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BASIS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4-6h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□完成</w:t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T+11h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7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SUM完成，验证系统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BASIS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30min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□完成</w:t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T+11.5h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8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激活自定义代码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ABAP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30min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□完成</w:t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T+12h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9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切换网络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客户IT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15min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□完成</w:t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T+12.25h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10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SAP登录验证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BASIS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15min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□完成</w:t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T+12.5h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11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关键用户验证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关键用户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30min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□完成</w:t>
            </w:r>
          </w:p>
        </w:tc>
      </w:tr>
      <w:tr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T+13h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12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通知用户恢复使用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PM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5min</w:t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234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□完成</w:t>
            </w:r>
          </w:p>
        </w:tc>
      </w:tr>
    </w:tbl>
    <w:p>
      <w:pPr>
        <w:pStyle w:val="Heading2"/>
        <w:spacing w:before="120" w:after="60" w:line="320" w:lineRule="exact"/>
      </w:pPr>
      <w:r>
        <w:rPr>
          <w:rFonts w:ascii="微软雅黑" w:hAnsi="微软雅黑" w:eastAsia="微软雅黑"/>
          <w:b/>
          <w:sz w:val="21"/>
        </w:rPr>
        <w:t>3. 角色与联系方式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角色</w:t>
            </w:r>
          </w:p>
        </w:tc>
        <w:tc>
          <w:tcPr>
            <w:tcW w:type="dxa" w:w="216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姓名</w:t>
            </w:r>
          </w:p>
        </w:tc>
        <w:tc>
          <w:tcPr>
            <w:tcW w:type="dxa" w:w="216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电话</w:t>
            </w:r>
          </w:p>
        </w:tc>
        <w:tc>
          <w:tcPr>
            <w:tcW w:type="dxa" w:w="216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职责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项目经理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总指挥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BASIS顾问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切换执行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ABAP顾问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代码激活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功能顾问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业务验证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客户IT负责人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基础设施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金蝶接口负责人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接口联调</w:t>
            </w:r>
          </w:p>
        </w:tc>
      </w:tr>
    </w:tbl>
    <w:p>
      <w:pPr>
        <w:pStyle w:val="Heading2"/>
        <w:spacing w:before="120" w:after="60" w:line="320" w:lineRule="exact"/>
      </w:pPr>
      <w:r>
        <w:rPr>
          <w:rFonts w:ascii="微软雅黑" w:hAnsi="微软雅黑" w:eastAsia="微软雅黑"/>
          <w:b/>
          <w:sz w:val="21"/>
        </w:rPr>
        <w:t>4. 回退方案</w:t>
      </w:r>
    </w:p>
    <w:p>
      <w:pPr>
        <w:pStyle w:val="Heading3"/>
        <w:spacing w:before="80" w:after="40" w:line="300" w:lineRule="exact"/>
      </w:pPr>
      <w:r>
        <w:rPr>
          <w:rFonts w:ascii="微软雅黑" w:hAnsi="微软雅黑" w:eastAsia="微软雅黑"/>
          <w:b/>
          <w:sz w:val="21"/>
        </w:rPr>
        <w:t>4.1 回退触发条件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条件</w:t>
            </w:r>
          </w:p>
        </w:tc>
        <w:tc>
          <w:tcPr>
            <w:tcW w:type="dxa" w:w="432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判断标准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SUM执行失败且无法修复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HANA数据库启动失败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核心业务流程验证不通过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切换超时（超过12小时）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</w:tbl>
    <w:p>
      <w:pPr>
        <w:pStyle w:val="Heading3"/>
        <w:spacing w:before="80" w:after="40" w:line="300" w:lineRule="exact"/>
      </w:pPr>
      <w:r>
        <w:rPr>
          <w:rFonts w:ascii="微软雅黑" w:hAnsi="微软雅黑" w:eastAsia="微软雅黑"/>
          <w:b/>
          <w:sz w:val="21"/>
        </w:rPr>
        <w:t>4.2 回退步骤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步骤</w:t>
            </w:r>
          </w:p>
        </w:tc>
        <w:tc>
          <w:tcPr>
            <w:tcW w:type="dxa" w:w="216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操作</w:t>
            </w:r>
          </w:p>
        </w:tc>
        <w:tc>
          <w:tcPr>
            <w:tcW w:type="dxa" w:w="216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耗时</w:t>
            </w:r>
          </w:p>
        </w:tc>
        <w:tc>
          <w:tcPr>
            <w:tcW w:type="dxa" w:w="216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负责人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停止新PROD应用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5min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BASIS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2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网络切回旧PROD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15min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客户IT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3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启动旧PROD SAP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10min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BASIS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4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用户验证旧系统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15min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关键用户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5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通知用户恢复使用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5min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PM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回退总耗时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约1小时</w:t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216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</w:tbl>
    <w:p>
      <w:pPr>
        <w:pStyle w:val="Heading3"/>
        <w:spacing w:before="80" w:after="40" w:line="300" w:lineRule="exact"/>
      </w:pPr>
      <w:r>
        <w:rPr>
          <w:rFonts w:ascii="微软雅黑" w:hAnsi="微软雅黑" w:eastAsia="微软雅黑"/>
          <w:b/>
          <w:sz w:val="21"/>
        </w:rPr>
        <w:t>4.3 旧系统保留策略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项目</w:t>
            </w:r>
          </w:p>
        </w:tc>
        <w:tc>
          <w:tcPr>
            <w:tcW w:type="dxa" w:w="432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说明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旧PROD保留期限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升级成功后保留7天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旧PROD数据保留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HANA本地备份+备份文件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旧PROD访问方式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临时IP（切换后通知用户）</w:t>
            </w:r>
          </w:p>
        </w:tc>
      </w:tr>
    </w:tbl>
    <w:p>
      <w:pPr>
        <w:pStyle w:val="Heading2"/>
        <w:spacing w:before="120" w:after="60" w:line="320" w:lineRule="exact"/>
      </w:pPr>
      <w:r>
        <w:rPr>
          <w:rFonts w:ascii="微软雅黑" w:hAnsi="微软雅黑" w:eastAsia="微软雅黑"/>
          <w:b/>
          <w:sz w:val="21"/>
        </w:rPr>
        <w:t>5. 风险与应急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风险</w:t>
            </w:r>
          </w:p>
        </w:tc>
        <w:tc>
          <w:tcPr>
            <w:tcW w:type="dxa" w:w="432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应急措施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SUM执行中途失败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SUM支持断点续传，检查日志后重启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HANA备份拷贝超时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使用增量拷贝或压缩传输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网络切换后DNS缓存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通知用户清除DNS缓存或重启浏览器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接口连接失败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检查防火墙规则和路由配置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用户权限问题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检查SAP角色和Fiori Catalog分配</w:t>
            </w:r>
          </w:p>
        </w:tc>
      </w:tr>
    </w:tbl>
    <w:p>
      <w:pPr>
        <w:pStyle w:val="Heading2"/>
        <w:spacing w:before="120" w:after="60" w:line="320" w:lineRule="exact"/>
      </w:pPr>
      <w:r>
        <w:rPr>
          <w:rFonts w:ascii="微软雅黑" w:hAnsi="微软雅黑" w:eastAsia="微软雅黑"/>
          <w:b/>
          <w:sz w:val="21"/>
        </w:rPr>
        <w:t>6. 上线后巡检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巡检项</w:t>
            </w:r>
          </w:p>
        </w:tc>
        <w:tc>
          <w:tcPr>
            <w:tcW w:type="dxa" w:w="288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频率</w:t>
            </w:r>
          </w:p>
        </w:tc>
        <w:tc>
          <w:tcPr>
            <w:tcW w:type="dxa" w:w="288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持续时间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系统日志检查（SM21）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每日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上线后3天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数据库健康检查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每日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上线后3天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用户问题收集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每日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上线后5天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接口监控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每日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上线后3天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性能监控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每日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上线后5天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80" w:lineRule="exact" w:before="0" w:after="40"/>
    </w:pPr>
    <w:rPr>
      <w:rFonts w:ascii="微软雅黑" w:hAnsi="微软雅黑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微软雅黑" w:hAnsi="微软雅黑" w:eastAsia="微软雅黑"/>
      <w:b/>
      <w:bCs/>
      <w:color w:val="365F91" w:themeColor="accent1" w:themeShade="BF"/>
      <w:sz w:val="2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微软雅黑" w:hAnsi="微软雅黑" w:eastAsia="微软雅黑"/>
      <w:b/>
      <w:bCs/>
      <w:color w:val="4F81BD" w:themeColor="accent1"/>
      <w:sz w:val="2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微软雅黑" w:hAnsi="微软雅黑" w:eastAsia="微软雅黑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