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400" w:after="120" w:line="400" w:lineRule="exact"/>
        <w:jc w:val="center"/>
      </w:pPr>
      <w:r>
        <w:rPr>
          <w:rFonts w:ascii="微软雅黑" w:hAnsi="微软雅黑" w:eastAsia="微软雅黑"/>
          <w:b/>
          <w:sz w:val="21"/>
        </w:rPr>
        <w:t>阜康 S/4HANA 1709 → 2025 升级项目</w:t>
      </w:r>
    </w:p>
    <w:p>
      <w:pPr>
        <w:spacing w:before="0" w:after="120" w:line="280" w:lineRule="exact"/>
        <w:jc w:val="center"/>
      </w:pPr>
      <w:r>
        <w:rPr>
          <w:rFonts w:ascii="微软雅黑" w:hAnsi="微软雅黑" w:eastAsia="微软雅黑"/>
          <w:b/>
          <w:sz w:val="21"/>
        </w:rPr>
        <w:t>接口测试报告</w:t>
      </w:r>
    </w:p>
    <w:p>
      <w:r>
        <w:br w:type="page"/>
      </w:r>
    </w:p>
    <w:p>
      <w:pPr>
        <w:spacing w:before="120" w:after="80" w:line="320" w:lineRule="exact"/>
      </w:pPr>
      <w:r>
        <w:rPr>
          <w:rFonts w:ascii="微软雅黑" w:hAnsi="微软雅黑" w:eastAsia="微软雅黑"/>
          <w:b/>
          <w:sz w:val="21"/>
        </w:rPr>
        <w:t>目  录</w:t>
      </w:r>
    </w:p>
    <w:p>
      <w:pPr>
        <w:spacing w:before="0" w:after="40" w:line="280" w:lineRule="exact"/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rPr>
          <w:rFonts w:ascii="微软雅黑" w:hAnsi="微软雅黑" w:eastAsia="微软雅黑"/>
          <w:b w:val="0"/>
          <w:sz w:val="18"/>
        </w:rPr>
        <w:t>【请右键此处 → 更新域 → 更新整个目录】</w:t>
      </w:r>
      <w:r>
        <w:fldChar w:fldCharType="end"/>
      </w:r>
    </w:p>
    <w:p>
      <w:r>
        <w:br w:type="page"/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项目</w:t>
            </w:r>
          </w:p>
        </w:tc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内容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测试日期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（填写实际日期）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测试环境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QA / PROD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接口规格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HTTP REST + JSON + 基本认证</w:t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1. 测试范围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接口编号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接口名称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方向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对端系统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协议</w:t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IF-01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金蝶SRM采购订单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阜康→金蝶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金蝶SRM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HTTP REST</w:t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IF-02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金蝶SRM采购入库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阜康→金蝶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金蝶SRM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HTTP REST</w:t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IF-03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金蝶ERP销售订单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金蝶→阜康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金蝶ERP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HTTP REST</w:t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IF-04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金蝶ERP发货通知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金蝶→阜康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金蝶ERP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HTTP REST</w:t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IF-05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金蝶ERP财务凭证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金蝶→阜康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金蝶ERP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HTTP REST</w:t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2. 测试环境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项目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QA环境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PROD环境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S/4HANA版本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对端系统地址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测试账号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网络连通性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 □不通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 □不通</w:t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3. 测试用例与结果</w:t>
      </w:r>
    </w:p>
    <w:p>
      <w:pPr>
        <w:pStyle w:val="Heading3"/>
        <w:spacing w:before="80" w:after="40" w:line="300" w:lineRule="exact"/>
      </w:pPr>
      <w:r>
        <w:rPr>
          <w:rFonts w:ascii="微软雅黑" w:hAnsi="微软雅黑" w:eastAsia="微软雅黑"/>
          <w:b/>
          <w:sz w:val="21"/>
        </w:rPr>
        <w:t>IF-01 金蝶SRM采购订单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用例编号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测试场景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输入数据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预期结果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实际结果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状态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备注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p>
      <w:pPr>
        <w:pStyle w:val="Heading3"/>
        <w:spacing w:before="80" w:after="40" w:line="300" w:lineRule="exact"/>
      </w:pPr>
      <w:r>
        <w:rPr>
          <w:rFonts w:ascii="微软雅黑" w:hAnsi="微软雅黑" w:eastAsia="微软雅黑"/>
          <w:b/>
          <w:sz w:val="21"/>
        </w:rPr>
        <w:t>IF-02 金蝶SRM采购入库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用例编号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测试场景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输入数据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预期结果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实际结果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状态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备注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p>
      <w:pPr>
        <w:pStyle w:val="Heading3"/>
        <w:spacing w:before="80" w:after="40" w:line="300" w:lineRule="exact"/>
      </w:pPr>
      <w:r>
        <w:rPr>
          <w:rFonts w:ascii="微软雅黑" w:hAnsi="微软雅黑" w:eastAsia="微软雅黑"/>
          <w:b/>
          <w:sz w:val="21"/>
        </w:rPr>
        <w:t>IF-03 金蝶ERP销售订单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用例编号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测试场景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输入数据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预期结果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实际结果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状态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备注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p>
      <w:pPr>
        <w:pStyle w:val="Heading3"/>
        <w:spacing w:before="80" w:after="40" w:line="300" w:lineRule="exact"/>
      </w:pPr>
      <w:r>
        <w:rPr>
          <w:rFonts w:ascii="微软雅黑" w:hAnsi="微软雅黑" w:eastAsia="微软雅黑"/>
          <w:b/>
          <w:sz w:val="21"/>
        </w:rPr>
        <w:t>IF-04 金蝶ERP发货通知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用例编号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测试场景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输入数据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预期结果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实际结果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状态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备注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p>
      <w:pPr>
        <w:pStyle w:val="Heading3"/>
        <w:spacing w:before="80" w:after="40" w:line="300" w:lineRule="exact"/>
      </w:pPr>
      <w:r>
        <w:rPr>
          <w:rFonts w:ascii="微软雅黑" w:hAnsi="微软雅黑" w:eastAsia="微软雅黑"/>
          <w:b/>
          <w:sz w:val="21"/>
        </w:rPr>
        <w:t>IF-05 金蝶ERP财务凭证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用例编号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测试场景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输入数据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预期结果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实际结果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状态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备注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□失败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4. 缺陷记录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缺陷编号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接口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用例编号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缺陷描述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严重级别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修复状态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验证状态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□待修 □已修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5. 测试结论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接口</w:t>
            </w:r>
          </w:p>
        </w:tc>
        <w:tc>
          <w:tcPr>
            <w:tcW w:type="dxa" w:w="144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用例数</w:t>
            </w:r>
          </w:p>
        </w:tc>
        <w:tc>
          <w:tcPr>
            <w:tcW w:type="dxa" w:w="144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通过</w:t>
            </w:r>
          </w:p>
        </w:tc>
        <w:tc>
          <w:tcPr>
            <w:tcW w:type="dxa" w:w="144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失败</w:t>
            </w:r>
          </w:p>
        </w:tc>
        <w:tc>
          <w:tcPr>
            <w:tcW w:type="dxa" w:w="144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通过率</w:t>
            </w:r>
          </w:p>
        </w:tc>
        <w:tc>
          <w:tcPr>
            <w:tcW w:type="dxa" w:w="144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结论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IF-01</w:t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□未通过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IF-02</w:t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□未通过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IF-03</w:t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□未通过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IF-04</w:t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□未通过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IF-05</w:t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□通过 □未通过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合计</w:t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44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80" w:lineRule="exact" w:before="0" w:after="40"/>
    </w:pPr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微软雅黑" w:hAnsi="微软雅黑" w:eastAsia="微软雅黑"/>
      <w:b/>
      <w:bCs/>
      <w:color w:val="365F91" w:themeColor="accent1" w:themeShade="BF"/>
      <w:sz w:val="2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微软雅黑" w:hAnsi="微软雅黑" w:eastAsia="微软雅黑"/>
      <w:b/>
      <w:bCs/>
      <w:color w:val="4F81BD" w:themeColor="accent1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微软雅黑" w:hAnsi="微软雅黑" w:eastAsia="微软雅黑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