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0" w:after="120" w:line="400" w:lineRule="exact"/>
        <w:jc w:val="center"/>
      </w:pPr>
      <w:r>
        <w:rPr>
          <w:rFonts w:ascii="微软雅黑" w:hAnsi="微软雅黑" w:eastAsia="微软雅黑"/>
          <w:b/>
          <w:sz w:val="21"/>
        </w:rPr>
        <w:t>阜康 S/4HANA 1709 → 2025 升级项目</w:t>
      </w:r>
    </w:p>
    <w:p>
      <w:pPr>
        <w:spacing w:before="0" w:after="120" w:line="280" w:lineRule="exact"/>
        <w:jc w:val="center"/>
      </w:pPr>
      <w:r>
        <w:rPr>
          <w:rFonts w:ascii="微软雅黑" w:hAnsi="微软雅黑" w:eastAsia="微软雅黑"/>
          <w:b/>
          <w:sz w:val="21"/>
        </w:rPr>
        <w:t>代码修复清单</w:t>
      </w:r>
    </w:p>
    <w:p>
      <w:r>
        <w:br w:type="page"/>
      </w:r>
    </w:p>
    <w:p>
      <w:pPr>
        <w:spacing w:before="120" w:after="80" w:line="320" w:lineRule="exact"/>
      </w:pPr>
      <w:r>
        <w:rPr>
          <w:rFonts w:ascii="微软雅黑" w:hAnsi="微软雅黑" w:eastAsia="微软雅黑"/>
          <w:b/>
          <w:sz w:val="21"/>
        </w:rPr>
        <w:t>目  录</w:t>
      </w:r>
    </w:p>
    <w:p>
      <w:pPr>
        <w:spacing w:before="0" w:after="40" w:line="280" w:lineRule="exact"/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rPr>
          <w:rFonts w:ascii="微软雅黑" w:hAnsi="微软雅黑" w:eastAsia="微软雅黑"/>
          <w:b w:val="0"/>
          <w:sz w:val="18"/>
        </w:rPr>
        <w:t>【请右键此处 → 更新域 → 更新整个目录】</w:t>
      </w:r>
      <w:r>
        <w:fldChar w:fldCharType="end"/>
      </w:r>
    </w:p>
    <w:p>
      <w:r>
        <w:br w:type="page"/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项目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内容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基线日期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（填写ATC扫描完成日期）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修复截止日期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（填写PROD升级前日期）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1. 修复概览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指标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数值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ATC扫描总对象数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需修复对象数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已修复对象数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修复进度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0%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未修复阻塞项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2. 修复清单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>
        <w:tc>
          <w:tcPr>
            <w:tcW w:type="dxa" w:w="9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序号</w:t>
            </w:r>
          </w:p>
        </w:tc>
        <w:tc>
          <w:tcPr>
            <w:tcW w:type="dxa" w:w="9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对象名</w:t>
            </w:r>
          </w:p>
        </w:tc>
        <w:tc>
          <w:tcPr>
            <w:tcW w:type="dxa" w:w="9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对象类型</w:t>
            </w:r>
          </w:p>
        </w:tc>
        <w:tc>
          <w:tcPr>
            <w:tcW w:type="dxa" w:w="9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模块</w:t>
            </w:r>
          </w:p>
        </w:tc>
        <w:tc>
          <w:tcPr>
            <w:tcW w:type="dxa" w:w="9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级别</w:t>
            </w:r>
          </w:p>
        </w:tc>
        <w:tc>
          <w:tcPr>
            <w:tcW w:type="dxa" w:w="9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问题描述</w:t>
            </w:r>
          </w:p>
        </w:tc>
        <w:tc>
          <w:tcPr>
            <w:tcW w:type="dxa" w:w="9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修复方案</w:t>
            </w:r>
          </w:p>
        </w:tc>
        <w:tc>
          <w:tcPr>
            <w:tcW w:type="dxa" w:w="9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修复人</w:t>
            </w:r>
          </w:p>
        </w:tc>
        <w:tc>
          <w:tcPr>
            <w:tcW w:type="dxa" w:w="9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状态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4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5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6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7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8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9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10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11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12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13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14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  <w:tr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15</w:t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9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3. SPAU/SPDD 调整记录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序号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对象名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类型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操作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调整说明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传输请求号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状态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4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5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6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7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8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9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10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4. 增强/BAdI 调整记录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序号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增强点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BAdI名称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调整说明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状态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□待处理 □已完成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5. 修复验证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验证环境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验证日期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验证人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结果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DEV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□未通过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QA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□未通过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6. 结论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（填写修复总结）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80" w:lineRule="exact" w:before="0" w:after="40"/>
    </w:pPr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微软雅黑" w:hAnsi="微软雅黑" w:eastAsia="微软雅黑"/>
      <w:b/>
      <w:bCs/>
      <w:color w:val="365F91" w:themeColor="accent1" w:themeShade="BF"/>
      <w:sz w:val="2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微软雅黑" w:hAnsi="微软雅黑" w:eastAsia="微软雅黑"/>
      <w:b/>
      <w:bCs/>
      <w:color w:val="4F81BD" w:themeColor="accent1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微软雅黑" w:hAnsi="微软雅黑" w:eastAsia="微软雅黑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